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2C01" w14:textId="77777777" w:rsidR="00641961" w:rsidRDefault="00BD5EBD" w:rsidP="00334C7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Strategies for Reading Instruction</w:t>
      </w:r>
    </w:p>
    <w:p w14:paraId="3E420006" w14:textId="77777777" w:rsidR="00641961" w:rsidRDefault="00BD5EB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Explicit Instruction should be used to teach these instructional strategies.  When working with beginning readers, text complexity should be considered and appropriate reading levels should be chosen.</w:t>
      </w:r>
    </w:p>
    <w:p w14:paraId="0507C21F" w14:textId="77777777" w:rsidR="00641961" w:rsidRDefault="00641961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14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  <w:gridCol w:w="3285"/>
      </w:tblGrid>
      <w:tr w:rsidR="00641961" w14:paraId="6A21B703" w14:textId="77777777" w:rsidTr="00334C72">
        <w:trPr>
          <w:trHeight w:val="432"/>
          <w:tblHeader/>
        </w:trPr>
        <w:tc>
          <w:tcPr>
            <w:tcW w:w="3285" w:type="dxa"/>
            <w:shd w:val="clear" w:color="auto" w:fill="7030A0"/>
            <w:vAlign w:val="center"/>
          </w:tcPr>
          <w:p w14:paraId="15AECDDF" w14:textId="77777777" w:rsidR="00641961" w:rsidRPr="00334C72" w:rsidRDefault="00BD5EBD" w:rsidP="00334C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4C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Alphabetics</w:t>
            </w:r>
          </w:p>
        </w:tc>
        <w:tc>
          <w:tcPr>
            <w:tcW w:w="3285" w:type="dxa"/>
            <w:shd w:val="clear" w:color="auto" w:fill="7030A0"/>
            <w:vAlign w:val="center"/>
          </w:tcPr>
          <w:p w14:paraId="6E1C96BC" w14:textId="77777777" w:rsidR="00641961" w:rsidRPr="00334C72" w:rsidRDefault="00BD5EBD" w:rsidP="00334C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4C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Fluency</w:t>
            </w:r>
          </w:p>
        </w:tc>
        <w:tc>
          <w:tcPr>
            <w:tcW w:w="3285" w:type="dxa"/>
            <w:shd w:val="clear" w:color="auto" w:fill="7030A0"/>
            <w:vAlign w:val="center"/>
          </w:tcPr>
          <w:p w14:paraId="59CFA960" w14:textId="77777777" w:rsidR="00641961" w:rsidRPr="00334C72" w:rsidRDefault="00BD5EBD" w:rsidP="00334C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4C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Vocabulary</w:t>
            </w:r>
          </w:p>
        </w:tc>
        <w:tc>
          <w:tcPr>
            <w:tcW w:w="3285" w:type="dxa"/>
            <w:shd w:val="clear" w:color="auto" w:fill="7030A0"/>
            <w:vAlign w:val="center"/>
          </w:tcPr>
          <w:p w14:paraId="0EA1A41D" w14:textId="77777777" w:rsidR="00641961" w:rsidRPr="00334C72" w:rsidRDefault="00BD5EBD" w:rsidP="00334C72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4C72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Comprehension</w:t>
            </w:r>
          </w:p>
        </w:tc>
      </w:tr>
      <w:tr w:rsidR="00641961" w14:paraId="743A3120" w14:textId="77777777" w:rsidTr="00334C72">
        <w:tc>
          <w:tcPr>
            <w:tcW w:w="3285" w:type="dxa"/>
            <w:shd w:val="clear" w:color="auto" w:fill="auto"/>
          </w:tcPr>
          <w:p w14:paraId="2A76DD0F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Environmental Text</w:t>
            </w:r>
          </w:p>
          <w:p w14:paraId="2D0B62AA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Words that the student sees </w:t>
            </w:r>
            <w:r w:rsidR="00334C72">
              <w:rPr>
                <w:rFonts w:ascii="Arial" w:eastAsia="Arial" w:hAnsi="Arial" w:cs="Arial"/>
                <w:sz w:val="20"/>
                <w:szCs w:val="20"/>
              </w:rPr>
              <w:t>every day</w:t>
            </w:r>
            <w:r>
              <w:rPr>
                <w:rFonts w:ascii="Arial" w:eastAsia="Arial" w:hAnsi="Arial" w:cs="Arial"/>
                <w:sz w:val="20"/>
                <w:szCs w:val="20"/>
              </w:rPr>
              <w:t>. Ex., stop signs, fast food restaurant signs</w:t>
            </w:r>
          </w:p>
          <w:p w14:paraId="28D4E1E9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Phonemic Awareness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do these </w:t>
            </w:r>
            <w:r w:rsidR="00334C72">
              <w:rPr>
                <w:rFonts w:ascii="Arial" w:eastAsia="Arial" w:hAnsi="Arial" w:cs="Arial"/>
                <w:sz w:val="20"/>
                <w:szCs w:val="20"/>
              </w:rPr>
              <w:t>activities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 and without letter tiles or letter cups. Vowels should be a different color from consonants.</w:t>
            </w:r>
          </w:p>
          <w:p w14:paraId="09EB6C6F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isolation</w:t>
            </w:r>
          </w:p>
          <w:p w14:paraId="27AB8810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identification</w:t>
            </w:r>
          </w:p>
          <w:p w14:paraId="7A8F87F4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categorization</w:t>
            </w:r>
          </w:p>
          <w:p w14:paraId="6F5F9A0B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blending</w:t>
            </w:r>
          </w:p>
          <w:p w14:paraId="41A58252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addition and deletion</w:t>
            </w:r>
          </w:p>
          <w:p w14:paraId="0585540B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segmenting</w:t>
            </w:r>
          </w:p>
          <w:p w14:paraId="66F5CBB6" w14:textId="77777777" w:rsidR="00641961" w:rsidRDefault="00BD5EBD">
            <w:pPr>
              <w:numPr>
                <w:ilvl w:val="0"/>
                <w:numId w:val="8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Phoneme substitution</w:t>
            </w:r>
          </w:p>
          <w:p w14:paraId="7E94FB47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Word Sorts</w:t>
            </w:r>
          </w:p>
          <w:p w14:paraId="3478BDCB" w14:textId="77777777" w:rsidR="00641961" w:rsidRDefault="00BD5EBD">
            <w:pPr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 a pre-reading activity, small groups of students are given words from a reading selection and directed to sort them into categories. </w:t>
            </w:r>
          </w:p>
          <w:p w14:paraId="1715D6E9" w14:textId="77777777" w:rsidR="00641961" w:rsidRDefault="00BD5EBD">
            <w:pPr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can’t put all the words in one category or each word in its own category.</w:t>
            </w:r>
          </w:p>
          <w:p w14:paraId="3BE26B08" w14:textId="77777777" w:rsidR="00641961" w:rsidRDefault="00BD5EBD">
            <w:pPr>
              <w:numPr>
                <w:ilvl w:val="0"/>
                <w:numId w:val="9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After the sort, students share how their group sorted the words and why.</w:t>
            </w:r>
          </w:p>
          <w:p w14:paraId="7830E932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Language Experience Activity (LEA)</w:t>
            </w:r>
          </w:p>
          <w:p w14:paraId="076F1476" w14:textId="77777777" w:rsidR="00641961" w:rsidRDefault="00BD5EB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 LEA is an activity in which the teacher writes down a story as the student dictates it. The student then reads the story back to the teacher. The story can be about anything the student wants. The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teacher/tutor writes the story in exactly the words the student uses with no changes in grammar or </w:t>
            </w:r>
            <w:r w:rsidR="00334C72">
              <w:rPr>
                <w:rFonts w:ascii="Arial" w:eastAsia="Arial" w:hAnsi="Arial" w:cs="Arial"/>
                <w:sz w:val="20"/>
                <w:szCs w:val="20"/>
              </w:rPr>
              <w:t>sentence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structure. The story then becomes the text for practicing reading skills like decoding, word recognition, and fluency.</w:t>
            </w:r>
          </w:p>
          <w:p w14:paraId="4B70988E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Word Ladders</w:t>
            </w:r>
          </w:p>
          <w:p w14:paraId="39996770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word ladder activities, students start with a word and follow a series of steps to change or rearrange one or two letters at a time to end up with a different word. Click </w:t>
            </w:r>
            <w:hyperlink r:id="rId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 xml:space="preserve">here 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>to see an example.</w:t>
            </w:r>
          </w:p>
          <w:p w14:paraId="4D220416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Synthetic Phonics</w:t>
            </w:r>
          </w:p>
          <w:p w14:paraId="2D039603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Learners are taught the letter sound correspondences and then are taught to blend the sounds to identify words</w:t>
            </w:r>
          </w:p>
          <w:p w14:paraId="7D9EB8A5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“What word does /d/ /o/ /g/ make?”</w:t>
            </w:r>
          </w:p>
          <w:p w14:paraId="4D1E7DB0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dog</w:t>
            </w:r>
          </w:p>
          <w:p w14:paraId="25C8AA92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Analytic Phonics</w:t>
            </w:r>
          </w:p>
          <w:p w14:paraId="1E447084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Learners do not pronounce the sounds in isolation. They analyze the sounds in a word that is already identified</w:t>
            </w:r>
          </w:p>
          <w:p w14:paraId="429D4AC0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“What sounds do you hear in the word dog?”</w:t>
            </w:r>
          </w:p>
          <w:p w14:paraId="27497694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/d/ /o/ /g/</w:t>
            </w:r>
          </w:p>
          <w:p w14:paraId="4856C28A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Phonics by Analogy</w:t>
            </w:r>
          </w:p>
          <w:p w14:paraId="4371F981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Learners use parts of words they already know to identify unfamiliar words by analogy (word patterns)</w:t>
            </w:r>
          </w:p>
          <w:p w14:paraId="067DADBF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ack</w:t>
            </w:r>
          </w:p>
          <w:p w14:paraId="1E7F30BC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back</w:t>
            </w:r>
          </w:p>
          <w:p w14:paraId="107D668E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sack</w:t>
            </w:r>
          </w:p>
          <w:p w14:paraId="35D4094A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   tack</w:t>
            </w:r>
          </w:p>
          <w:p w14:paraId="22751C19" w14:textId="77777777" w:rsidR="00334C72" w:rsidRDefault="00334C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14:paraId="01C3B81D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Elkonin Boxes</w:t>
            </w:r>
          </w:p>
          <w:p w14:paraId="4C7AD985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Elkonin boxes (or 'sound boxes') can be used to build phonemic awareness and spelling skills.. Elkonin boxes help </w:t>
            </w:r>
            <w:r w:rsidR="00334C72">
              <w:rPr>
                <w:rFonts w:ascii="Arial" w:eastAsia="Arial" w:hAnsi="Arial" w:cs="Arial"/>
                <w:sz w:val="20"/>
                <w:szCs w:val="20"/>
              </w:rPr>
              <w:t>students segment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words into their individual sounds and syllables. Boxes are drawn on a piece of paper, dry-erase board, or chalkboard and students are asked to listen to a word and mark a single box for each phoneme heard.</w:t>
            </w:r>
          </w:p>
          <w:p w14:paraId="1FF7AADF" w14:textId="77777777" w:rsidR="00641961" w:rsidRDefault="0064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14:paraId="7B62F889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Neurological Impress Method</w:t>
            </w:r>
          </w:p>
          <w:p w14:paraId="1EE5A392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Oral read-along practice provides one-on-one fluent, expressive language modeling</w:t>
            </w:r>
          </w:p>
          <w:p w14:paraId="6AC0DEFE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Paired/Shared Reading </w:t>
            </w:r>
            <w:r>
              <w:rPr>
                <w:rFonts w:ascii="Arial" w:eastAsia="Arial" w:hAnsi="Arial" w:cs="Arial"/>
                <w:sz w:val="20"/>
                <w:szCs w:val="20"/>
              </w:rPr>
              <w:t>(accuracy)</w:t>
            </w:r>
          </w:p>
          <w:p w14:paraId="0437B701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and stronger reader read orally together.</w:t>
            </w:r>
          </w:p>
          <w:p w14:paraId="68745716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student struggles, stronger reader keeps reading.</w:t>
            </w:r>
          </w:p>
          <w:p w14:paraId="523DC9E6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Keep the pace comfortable for student.</w:t>
            </w:r>
          </w:p>
          <w:p w14:paraId="27774D67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Duet Reading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(speed/rate)</w:t>
            </w:r>
          </w:p>
          <w:p w14:paraId="26E141E2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First Read: Student reads passage aloud and teacher provides correction immediately after each student error </w:t>
            </w:r>
          </w:p>
          <w:p w14:paraId="2AA9504C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Second Read: Teacher and student sit side-by-side, alternately reading each word.  Teacher reads first word with excellent expression; tracking with finger under words; while pressing pace forward. Teacher provides immediate error correction. </w:t>
            </w:r>
          </w:p>
          <w:p w14:paraId="3C7A3B3E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Third Read: Student reads entire passage alone.</w:t>
            </w:r>
          </w:p>
          <w:p w14:paraId="383F85E0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Echo Reading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(prosody)</w:t>
            </w:r>
          </w:p>
          <w:p w14:paraId="77FFBFBC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 reads sentence orally. Student(s) read the same sentence while trying to read with same speed and expression as instructor.</w:t>
            </w:r>
          </w:p>
          <w:p w14:paraId="296B7593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 may need to break sentence into parts.</w:t>
            </w:r>
          </w:p>
          <w:p w14:paraId="1A8A5FFF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After several sentences are echo read, teacher reads the set of sentences or the paragraph and students echo this.</w:t>
            </w:r>
          </w:p>
          <w:p w14:paraId="49917A13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Choral Reading</w:t>
            </w:r>
          </w:p>
          <w:p w14:paraId="6D050CD5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practice reading the same passage orally as a group.</w:t>
            </w:r>
          </w:p>
          <w:p w14:paraId="75CA30BA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Readers’ Theater</w:t>
            </w:r>
          </w:p>
          <w:p w14:paraId="68BC3865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Suitable text is re-written in the form of a play.</w:t>
            </w:r>
          </w:p>
          <w:p w14:paraId="17CC5907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choose parts and are given the chance to practice reading them.</w:t>
            </w:r>
          </w:p>
          <w:p w14:paraId="15802F52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“perform” the play by reading their parts expressively.</w:t>
            </w:r>
          </w:p>
          <w:p w14:paraId="71A42518" w14:textId="77777777" w:rsidR="00641961" w:rsidRDefault="00BD5EBD">
            <w:pPr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costumes or acting is necessary but props may be used.</w:t>
            </w:r>
          </w:p>
          <w:p w14:paraId="412FEE6C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Tape-assisted Reading</w:t>
            </w:r>
          </w:p>
          <w:p w14:paraId="66DA83DE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Tape provides the guidance and the student can replay as often as necessary</w:t>
            </w:r>
          </w:p>
          <w:p w14:paraId="6801C54C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Phrase Marking</w:t>
            </w:r>
          </w:p>
          <w:p w14:paraId="26FAD2CC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464646"/>
                <w:sz w:val="20"/>
                <w:szCs w:val="20"/>
                <w:highlight w:val="white"/>
              </w:rPr>
              <w:t xml:space="preserve"> passage, or text such as a poem, is broken up either by putting separate sentences on different pieces of paper, or using visual cues within the text such as \ and \\ to denote pauses</w:t>
            </w:r>
          </w:p>
          <w:p w14:paraId="7F759BF2" w14:textId="77777777" w:rsidR="00641961" w:rsidRDefault="0064196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3285" w:type="dxa"/>
            <w:shd w:val="clear" w:color="auto" w:fill="auto"/>
          </w:tcPr>
          <w:p w14:paraId="5DEC89D3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  <w:lastRenderedPageBreak/>
              <w:t>Word Wall</w:t>
            </w:r>
          </w:p>
          <w:p w14:paraId="567047AE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Collection of words displayed in large letters on the classroom wall or display surface. Use as an interactive tool for students when reading and writing.</w:t>
            </w:r>
          </w:p>
          <w:p w14:paraId="2C7ACADC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  <w:t>Possible Sentences</w:t>
            </w:r>
          </w:p>
          <w:p w14:paraId="7DC51BEE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Pre-reading strategy to activate prior knowledge.</w:t>
            </w:r>
          </w:p>
          <w:p w14:paraId="0DCD7AA4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Provide students with short list of words from reading. Students create, based on prediction of reading, a meaningful sentence for each concept.  Check after reading for accuracy or if revision is necessary.</w:t>
            </w:r>
          </w:p>
          <w:p w14:paraId="1EE69EC0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</w:rPr>
              <w:t>Graffiti Vocabulary</w:t>
            </w:r>
          </w:p>
          <w:p w14:paraId="1064F5EF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create word posters by using own words and images of the term.</w:t>
            </w:r>
          </w:p>
          <w:p w14:paraId="0C3B7E8F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Word Sorts</w:t>
            </w:r>
          </w:p>
          <w:p w14:paraId="6172F848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See Alphabetics</w:t>
            </w:r>
          </w:p>
          <w:p w14:paraId="12ABD52D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List/Group/Label</w:t>
            </w:r>
          </w:p>
          <w:p w14:paraId="651DCBDA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Key word is written on the board and students share related words/ideas.</w:t>
            </w:r>
          </w:p>
          <w:p w14:paraId="4322665A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 writes the student responses on the board. The more responses, the better.</w:t>
            </w:r>
          </w:p>
          <w:p w14:paraId="19BD63B6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 and students discuss the words and any connections that are not clear.</w:t>
            </w:r>
          </w:p>
          <w:p w14:paraId="11A70EDE" w14:textId="77777777" w:rsidR="00641961" w:rsidRDefault="00BD5EB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group words according to meaning.</w:t>
            </w:r>
          </w:p>
          <w:p w14:paraId="50F214A4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Students determine a label for each group.</w:t>
            </w:r>
          </w:p>
          <w:p w14:paraId="720EC80B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Concentration</w:t>
            </w:r>
          </w:p>
          <w:p w14:paraId="3C1D407D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Game that matches the word to a picture or definition.</w:t>
            </w:r>
          </w:p>
          <w:p w14:paraId="493FC3DE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Sentence Frames</w:t>
            </w:r>
          </w:p>
          <w:p w14:paraId="2E49E7ED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Determine the critical vocabulary necessary for comprehension of a passage.</w:t>
            </w:r>
          </w:p>
          <w:p w14:paraId="6453457D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Develop the sentence frames you will use for structured practice.</w:t>
            </w:r>
          </w:p>
          <w:p w14:paraId="699DB6CE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While writing the sentence frames, keep in mind the target language that you will be replacing with blanks.</w:t>
            </w:r>
          </w:p>
          <w:p w14:paraId="627AFA57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You will also need to create a word bank for students to draw from.</w:t>
            </w:r>
          </w:p>
          <w:p w14:paraId="22E2BEF6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Cloze</w:t>
            </w:r>
          </w:p>
          <w:p w14:paraId="6FC4B7A9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 rewrites a passage and leaves out some of the words.</w:t>
            </w:r>
          </w:p>
          <w:p w14:paraId="68C6B57E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use context clues to decide what words are left out.</w:t>
            </w:r>
          </w:p>
          <w:p w14:paraId="2A2DA094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a variation, leave the first letter of the word that has been left out.</w:t>
            </w:r>
          </w:p>
          <w:p w14:paraId="337626A2" w14:textId="77777777" w:rsidR="00641961" w:rsidRDefault="00BD5E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Knowledge Rating Scale</w:t>
            </w:r>
          </w:p>
          <w:p w14:paraId="56B4D8A9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Choose list of words from text and display for students.</w:t>
            </w:r>
          </w:p>
          <w:p w14:paraId="72E8B3FE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Rate the words as (1) don’t know anything about it; (2) heard it, but not sure what it means: (3) can define/use the word.</w:t>
            </w:r>
          </w:p>
          <w:p w14:paraId="644E06FD" w14:textId="77777777" w:rsidR="00641961" w:rsidRDefault="00BD5E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Clarify meaning of words.</w:t>
            </w:r>
          </w:p>
          <w:p w14:paraId="206F1185" w14:textId="77777777" w:rsidR="00641961" w:rsidRDefault="00641961">
            <w:pPr>
              <w:rPr>
                <w:rFonts w:ascii="Verdana" w:eastAsia="Verdana" w:hAnsi="Verdana" w:cs="Verdana"/>
                <w:color w:val="2581BC"/>
                <w:sz w:val="19"/>
                <w:szCs w:val="19"/>
                <w:highlight w:val="white"/>
                <w:u w:val="single"/>
              </w:rPr>
            </w:pPr>
          </w:p>
        </w:tc>
        <w:tc>
          <w:tcPr>
            <w:tcW w:w="3285" w:type="dxa"/>
            <w:shd w:val="clear" w:color="auto" w:fill="auto"/>
          </w:tcPr>
          <w:p w14:paraId="5FFFED96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lastRenderedPageBreak/>
              <w:t>Retelling</w:t>
            </w:r>
          </w:p>
          <w:p w14:paraId="784A7E43" w14:textId="77777777" w:rsidR="00641961" w:rsidRDefault="00BD5EBD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retell what they read including important details and correct sequence.</w:t>
            </w:r>
          </w:p>
          <w:p w14:paraId="5CDACA52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K-W-L</w:t>
            </w:r>
          </w:p>
          <w:p w14:paraId="5090A0E7" w14:textId="77777777" w:rsidR="00641961" w:rsidRDefault="00BD5EBD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Teacher prepares a 3 column chart with the following headings: Know; Want to Know; Learned.</w:t>
            </w:r>
          </w:p>
          <w:p w14:paraId="57799416" w14:textId="77777777" w:rsidR="00641961" w:rsidRDefault="00BD5EBD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Before reading, students discuss what they know and want to know about a topic as the teacher records their answers.</w:t>
            </w:r>
          </w:p>
          <w:p w14:paraId="6E32E57C" w14:textId="77777777" w:rsidR="00641961" w:rsidRDefault="00BD5EBD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After reading, students discuss what they learned as the teacher records their answers.</w:t>
            </w:r>
          </w:p>
          <w:p w14:paraId="319AA98E" w14:textId="77777777" w:rsidR="00641961" w:rsidRDefault="00BD5EBD">
            <w:pPr>
              <w:numPr>
                <w:ilvl w:val="0"/>
                <w:numId w:val="3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may also discuss what was in their “Want to Know” column that they didn’t find out from the reading selection.</w:t>
            </w:r>
          </w:p>
          <w:p w14:paraId="15676875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DR-TA/DL-TA</w:t>
            </w:r>
          </w:p>
          <w:p w14:paraId="3B1F0900" w14:textId="77777777" w:rsidR="00641961" w:rsidRDefault="00BD5EBD">
            <w:pPr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Stands for Directed Reading-Thinking Activity or Directed Listening-Thinking Activity.</w:t>
            </w:r>
          </w:p>
          <w:p w14:paraId="30A91D31" w14:textId="77777777" w:rsidR="00641961" w:rsidRDefault="00BD5EBD">
            <w:pPr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are asked to make predictions from the title of the reading selection.</w:t>
            </w:r>
          </w:p>
          <w:p w14:paraId="62D1B29F" w14:textId="77777777" w:rsidR="00641961" w:rsidRDefault="00BD5EBD">
            <w:pPr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 various predetermined points in the selection, the students or teacher stops reading, discusses what is happening, confirms or reject the previous prediction, and makes a prediction about what will happen next.</w:t>
            </w:r>
          </w:p>
          <w:p w14:paraId="21BE6517" w14:textId="77777777" w:rsidR="00641961" w:rsidRDefault="00BD5EBD">
            <w:pPr>
              <w:numPr>
                <w:ilvl w:val="0"/>
                <w:numId w:val="4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Repeat this until the passage or story is finished.</w:t>
            </w:r>
          </w:p>
          <w:p w14:paraId="2038E957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Sketch to Stretch</w:t>
            </w:r>
          </w:p>
          <w:p w14:paraId="425C7B1C" w14:textId="77777777" w:rsidR="00641961" w:rsidRDefault="00BD5EBD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read or listen to a passage.</w:t>
            </w:r>
          </w:p>
          <w:p w14:paraId="70EBA61A" w14:textId="77777777" w:rsidR="00641961" w:rsidRDefault="00BD5EBD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make quick sketches (realistic or symbolic) of something related to the text that they found interesting, important, etc. (Note: The teacher should announce a 3-minute time limit so that “art anxiety” doesn’t affect students.</w:t>
            </w:r>
          </w:p>
          <w:p w14:paraId="1B5037D9" w14:textId="77777777" w:rsidR="00641961" w:rsidRDefault="00BD5EBD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small groups, students show their sketches to each other and invite the others to interpret their sketch.</w:t>
            </w:r>
          </w:p>
          <w:p w14:paraId="6F7B31CE" w14:textId="77777777" w:rsidR="00641961" w:rsidRDefault="00BD5EBD">
            <w:pPr>
              <w:numPr>
                <w:ilvl w:val="0"/>
                <w:numId w:val="5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illustrator can then comment on the sketch.</w:t>
            </w:r>
          </w:p>
          <w:p w14:paraId="6432B1F5" w14:textId="77777777" w:rsidR="00641961" w:rsidRDefault="00BD5EB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Think/Pair/Share</w:t>
            </w:r>
          </w:p>
          <w:p w14:paraId="07E1E33E" w14:textId="77777777" w:rsidR="00641961" w:rsidRDefault="00BD5EBD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 pairs, students listen or read to a predetermined stopping point. </w:t>
            </w:r>
          </w:p>
          <w:p w14:paraId="7FD76FD3" w14:textId="77777777" w:rsidR="00641961" w:rsidRDefault="00BD5EBD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Students think about what they read, consider what was interesting or puzzling, and make notes about their thoughts.</w:t>
            </w:r>
          </w:p>
          <w:p w14:paraId="06E9FB99" w14:textId="77777777" w:rsidR="00641961" w:rsidRDefault="00BD5EBD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partners talk to each other about their thinking, then each pair shares with the entire group.</w:t>
            </w:r>
          </w:p>
          <w:p w14:paraId="5965DF7E" w14:textId="77777777" w:rsidR="00641961" w:rsidRDefault="00BD5EBD">
            <w:pPr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Repeat this process until the reading is finished.</w:t>
            </w:r>
          </w:p>
          <w:p w14:paraId="343BC67B" w14:textId="77777777" w:rsidR="00641961" w:rsidRDefault="00641961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7B8DA9" w14:textId="77777777" w:rsidR="00641961" w:rsidRDefault="00641961">
      <w:pPr>
        <w:rPr>
          <w:rFonts w:ascii="Arial" w:eastAsia="Arial" w:hAnsi="Arial" w:cs="Arial"/>
          <w:b/>
        </w:rPr>
      </w:pPr>
    </w:p>
    <w:p w14:paraId="59F6821B" w14:textId="77777777" w:rsidR="00641961" w:rsidRDefault="00641961">
      <w:pPr>
        <w:rPr>
          <w:rFonts w:ascii="Arial" w:eastAsia="Arial" w:hAnsi="Arial" w:cs="Arial"/>
          <w:b/>
        </w:rPr>
      </w:pPr>
    </w:p>
    <w:p w14:paraId="60EA2D6F" w14:textId="77777777" w:rsidR="00641961" w:rsidRDefault="00BD5EB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More Resources</w:t>
      </w:r>
    </w:p>
    <w:p w14:paraId="12DDDD2F" w14:textId="77777777" w:rsidR="00641961" w:rsidRDefault="00641961">
      <w:pPr>
        <w:rPr>
          <w:rFonts w:ascii="Arial" w:eastAsia="Arial" w:hAnsi="Arial" w:cs="Arial"/>
          <w:sz w:val="20"/>
          <w:szCs w:val="20"/>
        </w:rPr>
      </w:pPr>
    </w:p>
    <w:p w14:paraId="647B1017" w14:textId="77777777" w:rsidR="00641961" w:rsidRDefault="00BD5EBD">
      <w:pPr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Eureka! On-line resource with teaching strategies, standards based lesson plans, and a database of library books for adult beginning readers.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http://literacy.kent.edu/eureka/index2.html</w:t>
        </w:r>
      </w:hyperlink>
    </w:p>
    <w:p w14:paraId="60252F26" w14:textId="77777777" w:rsidR="00641961" w:rsidRDefault="00BD5EBD">
      <w:pPr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Creating Authentic Materials and Activities for the Adult Literacy Classroom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http://www.ncsall.net/fileadmin/resources/teach/jacobson.pdf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D8EBB1F" w14:textId="77777777" w:rsidR="00641961" w:rsidRDefault="00BD5EBD">
      <w:pPr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Understanding What Reading is All About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http://www.ncsall.net/fileadmin/resources/teach/uwriaa.pdf</w:t>
        </w:r>
      </w:hyperlink>
    </w:p>
    <w:p w14:paraId="37AD4078" w14:textId="77777777" w:rsidR="00641961" w:rsidRDefault="00BD5EBD">
      <w:pPr>
        <w:numPr>
          <w:ilvl w:val="0"/>
          <w:numId w:val="7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Apply Research in Reading Instruction for Adults: First Steps for Teachers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http://www.nifl.gov/partnershipforreading/publications/applyingresearch.pdf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641961" w:rsidSect="0072481D">
      <w:headerReference w:type="default" r:id="rId12"/>
      <w:pgSz w:w="15840" w:h="12240" w:orient="landscape"/>
      <w:pgMar w:top="720" w:right="1152" w:bottom="547" w:left="1152" w:header="44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F1EA" w14:textId="77777777" w:rsidR="00833298" w:rsidRDefault="00833298">
      <w:r>
        <w:separator/>
      </w:r>
    </w:p>
  </w:endnote>
  <w:endnote w:type="continuationSeparator" w:id="0">
    <w:p w14:paraId="17592E04" w14:textId="77777777" w:rsidR="00833298" w:rsidRDefault="0083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C261" w14:textId="77777777" w:rsidR="00833298" w:rsidRDefault="00833298">
      <w:r>
        <w:separator/>
      </w:r>
    </w:p>
  </w:footnote>
  <w:footnote w:type="continuationSeparator" w:id="0">
    <w:p w14:paraId="75A7A9EA" w14:textId="77777777" w:rsidR="00833298" w:rsidRDefault="0083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9D9" w14:textId="77777777" w:rsidR="00641961" w:rsidRDefault="00BD5E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FD4859B" wp14:editId="471687B0">
          <wp:extent cx="1314450" cy="504825"/>
          <wp:effectExtent l="0" t="0" r="0" b="0"/>
          <wp:docPr id="1" name="image1.jpg" descr="S:\Graphics\ASPIRE-logo_bigtag_hi-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:\Graphics\ASPIRE-logo_bigtag_hi-re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9164C4" w14:textId="77777777" w:rsidR="00641961" w:rsidRDefault="006419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BA2"/>
    <w:multiLevelType w:val="multilevel"/>
    <w:tmpl w:val="6BFE645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CB2BC7"/>
    <w:multiLevelType w:val="multilevel"/>
    <w:tmpl w:val="7D4AE1F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3A225E"/>
    <w:multiLevelType w:val="multilevel"/>
    <w:tmpl w:val="6A5475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905AF7"/>
    <w:multiLevelType w:val="multilevel"/>
    <w:tmpl w:val="F9DC238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1E2AEE"/>
    <w:multiLevelType w:val="multilevel"/>
    <w:tmpl w:val="3D181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C5301A"/>
    <w:multiLevelType w:val="multilevel"/>
    <w:tmpl w:val="1A7C567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A90B24"/>
    <w:multiLevelType w:val="multilevel"/>
    <w:tmpl w:val="4524EF2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393338"/>
    <w:multiLevelType w:val="multilevel"/>
    <w:tmpl w:val="4E7A0CE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C41AA8"/>
    <w:multiLevelType w:val="multilevel"/>
    <w:tmpl w:val="B86221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961"/>
    <w:rsid w:val="00334C72"/>
    <w:rsid w:val="00641961"/>
    <w:rsid w:val="0068288A"/>
    <w:rsid w:val="0072481D"/>
    <w:rsid w:val="00833298"/>
    <w:rsid w:val="008818D0"/>
    <w:rsid w:val="00A4519C"/>
    <w:rsid w:val="00BD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B54D"/>
  <w15:docId w15:val="{CC593C47-AD9E-46FD-8D27-799A9EE5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cy.kent.edu/eureka/index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imrasinski.com/presentations/foot_to_ball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fl.gov/partnershipforreading/publications/applyingresearch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sall.net/fileadmin/resources/teach/uwria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sall.net/fileadmin/resources/teach/jacobson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FRANKS, JUDITH</dc:creator>
  <cp:lastModifiedBy>Judy Franks</cp:lastModifiedBy>
  <cp:revision>2</cp:revision>
  <cp:lastPrinted>2019-01-10T22:18:00Z</cp:lastPrinted>
  <dcterms:created xsi:type="dcterms:W3CDTF">2022-03-01T00:50:00Z</dcterms:created>
  <dcterms:modified xsi:type="dcterms:W3CDTF">2022-03-01T00:50:00Z</dcterms:modified>
</cp:coreProperties>
</file>